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570</w:t>
      </w:r>
    </w:p>
    <w:p>
      <w:r>
        <w:t>Bundesgericht (BGE), 1991-12-12, DE</w:t>
      </w:r>
    </w:p>
    <w:p>
      <w:r>
        <w:rPr>
          <w:b/>
        </w:rPr>
        <w:t xml:space="preserve">Quelle: </w:t>
      </w:r>
      <w:r>
        <w:t>https://mcp.opencaselaw.ch/entscheid/bge_117 II 570</w:t>
      </w:r>
    </w:p>
    <w:p>
      <w:r>
        <w:t>FR: ATF 117 II 570</w:t>
      </w:r>
    </w:p>
    <w:p>
      <w:r>
        <w:t>IT: DTF 117 II 570</w:t>
      </w:r>
    </w:p>
    <w:p>
      <w:pPr>
        <w:pStyle w:val="Heading2"/>
      </w:pPr>
      <w:r>
        <w:t>Regeste</w:t>
      </w:r>
    </w:p>
    <w:p>
      <w:r>
        <w:t>Regeste Aktienrechtliche Verantwortlichkeit; Organbegriff gemäss Art. 754 Abs. 1 OR. 1. Allgemeine Voraussetzungen der materiellen Organstellung im Sinne von Art. 754 Abs. 1 OR; insbesondere Abgrenzung zum Organ gemäss Art. 55 ZGB (E. 3). 2. Umstände, die im konkreten Fall gegen eine Haftung als materielles Organ sprechen (E. 4).</w:t>
      </w:r>
    </w:p>
    <w:p>
      <w:pPr>
        <w:pStyle w:val="Heading2"/>
      </w:pPr>
      <w:r>
        <w:t>Erwägungen</w:t>
      </w:r>
    </w:p>
    <w:p>
      <w:r>
        <w:rPr>
          <w:b/>
        </w:rPr>
        <w:t>E. 3</w:t>
      </w:r>
    </w:p>
    <w:p>
      <w:r>
        <w:t>Gemäss Art. 754 Abs. 1 OR sind alle mit der Verwaltung oder Geschäftsführung betrauten Personen der Gesellschaft gegenüber für den Schaden verantwortlich, den sie durch absichtliche oder fahrlässige Verletzung der ihnen obliegenden Pflichten verursachen. Als mit der Verwaltung oder Geschäftsführung betraut im Sinne dieser Bestimmung gelten nach Lehre und Rechtsprechung nicht nur Entscheidungsorgane, die ausdrücklich als solche ernannt worden sind, sondern auch Personen, die tatsächlich Organen vorbehaltene Entscheide treffen oder die eigentliche Geschäftsführung besorgen und so die Willensbildung der Gesellschaft massgebend mitbestimmen ( BGE 114 V 218 E. 4e, BGE 112 II 185 E. 5a, BGE 107 II 353 E. 5; FORSTMOSER, Die aktienrechtliche Verantwortlichkeit, 2. Aufl., S. 205 ff. Rz. 638 ff.; BÜRGI/NORDMANN, N. 119 zu Art. 753/4 OR). In der neueren Literatur wird zudem darauf hingewiesen, dass die Organeigenschaft auch dann anzunehmen sei, wenn nach dem Vertrauensgrundsatz aus den äusseren Umständen auf eine solche Stellung geschlossen werden dürfe (FORSTMOSER, a.a.O., S. 214/5 Rz. 676 ff.). Der Kläger beruft sich ausserdem auf Lehre und Rechtsprechung zum Organbegriff von Art. 55 ZGB . Als Organe im Sinne dieser Vorschrift gelten diejenigen Funktionäre einer juristischen Person, die nach Gesetz, Statuten oder einem davon abgeleiteten Reglement zur Erfüllung gesellschaftlicher Aufgaben berufen sind oder tatsächlich und erkennbar solche Aufgaben selbständig besorgen (OFTINGER/STARK, Schweiz. Haftpflichtrecht, Bd. II/1, S. 274 Rz. 15; GUTZWILLER, SPR Bd. II, S. 489 ff.; RIEMER, N. 100 ff. zu Art. 69 ZGB ). Organe sind nach der Rechtsprechung auch jene Personen, die unter der Aufsicht des obersten Verwaltungsausschusses einer juristischen Person deren eigentliche Geschäftsführung BGE 117 II 570 S. 572 besorgen oder sich sonst in leitender Stellung betätigen ( BGE 104 II 197 mit Hinweisen). Im allgemeinen wird der Kreis der gemäss Art. 754 Abs. 1 OR haftenden jenem der nach Art. 55 ZGB verantwortlichen Personen weitgehend gleichzusetzen sein. Eine Übereinstimmung ist jedenfalls dann anzustreben, wenn die für die Gesellschaft handelnde Person für Schaden verantwortlich gemacht wird, den sie unmittelbar einem Dritten verursacht hat. Denn in diesem Fall decken sich die Haftungsgrundlagen, sofern das beanstandete Verhalten nicht nur gesellschaftsintern pflichtwidrig ist, sondern auch eine unerlaubte Handlung darstellt (WATTER, Die Verpflichtung der AG aus rechtsgeschäftlichem Handeln ihrer Stellvertreter, Prokuristen und Organe, speziell bei sogenanntem "Missbrauch der Vertretungsmacht", Diss. Zürich 1985, S. 94 ff., Rz. 143 und 145). Nicht selbstverständlich ist dagegen die Gleichsetzung, falls es um den Ersatz von Gesellschaftsschaden und von mit diesem kongruentem mittelbarem Drittschaden geht (DRUEY, Organ und Organisation - Zur Verantwortlichkeit aus aktienrechtlicher Organschaft, SAG 53/1981, S. 77 ff.; WATTER, a.a.O., S. 91 Rz. 140). Die allgemeine Organhaftung beruht auf dem Gedanken der Verkörperung der juristischen Person nach aussen, der externen Vertretungsmacht. Sie dient vorab der Zurechnung vertretungsgemässen Handelns sowie der Abgrenzung zur Haftung für Hilfspersonen gemäss Art. 101 OR . Die Verantwortlichkeit für Gesellschaftsschaden und mittelbaren Gläubigerschaden gründet demgegenüber auf der Missachtung oder dem Missbrauch von Befugnissen und Pflichten des Innenverhältnisses, auf der Verletzung der gesellschaftsinternen Struktur- und Handlungsprinzipien, das heisst von Pflichten, die sich aus der gesellschaftsrechtlichen Stellung ergeben (dazu DRUEY, a.a.O., S. 81; WATTER, a.a.O., S. 98 Rz. 145). Diese allgemeinen Gesichtspunkte sind im Einzelfall zu beachten. Sie müssen zu einer differenzierten Beurteilung führen und rechtfertigen es, dem verantwortlichkeitsrechtlichen Organbegriff in Berücksichtigung der konkreten Gesellschaftsstrukturen angemessene Grenzen zu setzen (DRUEY, a.a.O., S. 79). Die materielle Organstellung im Sinne von Art. 754 Abs. 1 OR bedingt zwingend eine tatsächliche oder allenfalls auch nur gegen aussen kundgegebene organisatorische Eingliederung in die Willensbildung der Gesellschaft. Zudem setzt die aktienrechtliche Verantwortlichkeit erst dort ein, wo die vertragliche, insbesondere arbeitsvertragliche Haftung aufgrund der organisatorischen und hierarchischen Stellung BGE 117 II 570 S. 573 des Verantwortlichen nicht mehr als ausreichend oder sachgerecht erscheint (WATTER, a.a.O., S. 96 Rz. 144). Das ist in der Regel nur dann der Fall, wenn nicht eine blosse Führung der Geschäfte, sondern deren Leitung aufgrund selbständiger Entschlüsse vorliegt (DRUEY, a.a.O., S. 79). Zu berücksichtigen ist zudem, dass die aktienrechtliche Verantwortlichkeit an die Missachtung jener Pflichten anknüpft, welche dem Organ durch seine gesellschaftsrechtliche Stellung, durch das dadurch gegebene Sonderverhältnis auferlegt sind (DRUEY, a.a.O., S. 81). Deshalb soll dieser Verantwortlichkeit nur unterstehen, wer sich nach der internen oder nach aussen kundgegebenen Gesellschaftsorganisation in einem solchen Sonderverhältnis befindet und die sich daraus ergebenden Pflichten in eigener Entscheidungsbefugnis zu erfüllen hat. Eine blosse Mithilfe bei der Entscheidfassung genügt nicht. An weitreichenden gesellschaftsrechtlichen oder -politischen Entscheiden wirkt in grösseren Gesellschaften oder Konzernen in der Regel ein breiter Kreis von auch hierarchisch untergeordneten Angestellten mit. Zu denken ist etwa an die Vorbereitung der Entschlussfassung durch die Bereitstellung technischer, kaufmännischer oder juristischer Grundlagen. Werden dabei Fehler im Sinne gesellschaftsrechtlicher Pflichtwidrigkeiten begangen, so richten sich deren Folgen vorab nach dem konkreten Vertragsverhältnis zur Gesellschaft. Die aktienrechtliche, organschaftliche Verantwortlichkeit greift dagegen nur dann Platz, wenn die Kompetenzen der Beteiligten wesentlich über die Vorbereitung und Grundlagenbeschaffung hinausgehen und sich zu einer massgebenden Mitwirkung bei der Willensbildung verdichten. Richtig ist daher, dass die aktienrechtliche Verantwortlichkeit für die Geschäftsführung grundsätzlich nur die oberste Leitung einer Gesellschaft, die oberste Schicht der Hierarchie trifft (DRUEY, a.a.O., S. 79).</w:t>
      </w:r>
    </w:p>
    <w:p>
      <w:r>
        <w:rPr>
          <w:b/>
        </w:rPr>
        <w:t>E. 4</w:t>
      </w:r>
    </w:p>
    <w:p>
      <w:r>
        <w:t>In Übereinstimmung mit diesen Grundsätzen ist die Vorinstanz zu Recht zum Ergebnis gelangt, die Beklagten W., G. und K. seien mangels Organeigenschaft im Sinne von Art. 754 Abs. 1 OR nicht passivlegitimiert. Was der Kläger in rechtlicher Hinsicht dagegen vorbringt, erweist sich als unbegründet. a) So kann aus dem Umstand allein, dass die Beklagten W. und G. gemäss Handelsregister für die K. Holding AG zeichnungsberechtigt waren, nicht ohne weiteres ihre Organeigenschaft abgeleitet werden, zumal der Eintrag keinerlei Hinweis auf eine leitende Stellung enthielt (FORSTMOSER, a.a.O., S. 209 Rz. 655 f.). Dass BGE 117 II 570 S. 574 sodann alle drei Beklagten in den Tochter- und Enkelgesellschaften der K. Holding AG Organstellungen eingenommen haben sollen, ist in diesem Zusammenhang nicht von Bedeutung. Es entspricht zwar überwiegender Lehrmeinung, die herrschende Gesellschaft und ihre Organe bei Einmischung in die Verwaltung und Geschäftsführung der konzernmässig untergeordneten Gesellschaften ihnen gegenüber aus Art. 754 Abs. 1 OR verantwortlich zu machen (FORSTMOSER, a.a.O., S. 222/3 Rz. 708 ff.; DRUEY, a.a.O., S. 78; BÜRGI/NORDMANN, N. 123/4 zu Art. 753/4 OR). Diese Beurteilung lässt sich indessen nicht ohne weiteres auf den umgekehrten Fall übertragen, denn das hierarchische Konzernprinzip mag zwar oft zu einer Einmischung "von oben" führen, eine Einmischung "von unten" kennt es dagegen im allgemeinen nicht. Im vorliegenden Fall ist denn auch nicht erwiesen, dass die Organe der Tochter- und Enkelgesellschaften kraft ihrer Stellung einen entscheidenden Einfluss auf die Willensbildung der Holdinggesellschaft ausgeübt haben. Als gegenteiliges Indiz ist vielmehr der Umstand anzusehen, dass die drei Beklagten - obschon als Führungsgremium der untergeordneten Konzerngesellschaften amtierend - an den Verwaltungsratssitzungen der Holdinggesellschaft nur mit beratender Stimme oder als Gäste teilnahmen (FORSTMOSER, a.a.O., S. 211/2 Rz. 665/6). In die gleiche Richtung deutet ausserdem, dass das Gremium selbst bei der Führung der Tochter- und Enkelgesellschaften weisungsmässig stark an die Konzernspitze gebunden war und selbständige Entscheidungen lediglich innerhalb eines vorgegebenen Rahmens, insbesondere des konzernmässig genehmigten Budgets treffen durfte. b) Zu Recht hat das Obergericht sodann darauf hingewiesen, dass die von den Beklagten W., G. und K. für die Holdinggesellschaft allgemein ausgeübten Tätigkeiten nicht Handlungen betrafen, die gemeinhin den Gesellschaftsorganen vorbehalten sind. Im Vordergrund stand offensichtlich die subordinierte Führung der Geschäfte und nicht deren Leitung. Die drei Beklagten sind zudem auch gesellschaftsintern nicht als Organe der K. Holding AG betrachtet worden. Das lässt sich mit der Vorinstanz daraus ableiten, dass sie am Déchargebeschluss vom 30. Oktober 1984 unangefochten mitgewirkt haben. Insbesondere ist nicht festgestellt, der Kläger habe sich dieser Mitwirkung widersetzt. Dass die drei Beklagten bestimmte Grundlagen für die Verkaufsverhandlungen erarbeitet haben, reicht nach dem Gesagten BGE 117 II 570 S. 575 ebenfalls nicht aus, um ihre Organeigenschaft zu begründen. Das gilt umso mehr, als vom Obergericht verbindlich festgestellt worden ist, diese Unterlagen seien im Hinblick auf die Beschlussfassung durch den Verwaltungsrat der K. Holding AG erstellt worden. Gleich verhält es sich mit den vom Beklagten G. vorgelegten Bilanzen, denn nichts deutet darauf hin, dass er diese nicht bloss in arbeitsvertraglicher, sondern in gesellschaftsrechtlicher Stellung angefertigt hat. Nicht einzusehen ist schliesslich, warum die Anwendung seiner besonderen Kenntnisse bezüglich der elektronischen Datenverarbeitung die Organeigenschaft des Beklagten K. begründen soll. Erstellt ist einzig, dass alle drei Beklagten aufgrund ihrer Sachkenntnisse und wegen den ihnen unterstellten Sachbereichen im Konzern für die Grundlagenerarbeitung gesellschaftlicher Entscheide herangezogen worden sind, nicht aber auch, dass sie daran in massgebend leitender Stellung mitgewirkt haben. Das gilt nach den Feststellungen der Vorinstanz auch insoweit, als der Beklagte W. zusammen mit den Verwaltungsräten B. und S. der Verhandlungs- und Verkaufsdelegation angehört hat. Im angefochtenen Urteil wird festgehalten, zwar seien die Fachkenntnisse von W. für die Delegation wichtig gewesen, ausschlaggebend sei aber, dass die Verkaufsverträge lediglich von den zwei Verwaltungsräten unterzeichnet worden seien, die aufgrund ihrer eindeutigen Organstellung die Entscheide zu treffen und zu verantworten hätten. Auch in diesem Zusammenhang fehlen somit Feststellungen, welche auf eine Organstellung der Beklagten W., G. und K. schliessen liessen.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